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76" w:rsidRPr="00BF230F" w:rsidRDefault="00BF230F" w:rsidP="00BF230F">
      <w:pPr>
        <w:spacing w:before="120" w:after="120"/>
        <w:ind w:right="99"/>
        <w:jc w:val="center"/>
        <w:rPr>
          <w:rFonts w:cs="Verdana"/>
          <w:b/>
          <w:bCs/>
          <w:caps/>
          <w:sz w:val="20"/>
          <w:szCs w:val="20"/>
          <w:u w:val="single"/>
          <w:lang w:val="es-ES"/>
        </w:rPr>
      </w:pPr>
      <w:bookmarkStart w:id="0" w:name="_GoBack"/>
      <w:bookmarkEnd w:id="0"/>
      <w:r w:rsidRPr="00BF230F">
        <w:rPr>
          <w:b/>
          <w:sz w:val="20"/>
          <w:szCs w:val="20"/>
          <w:u w:val="single"/>
        </w:rPr>
        <w:t xml:space="preserve">Caso </w:t>
      </w:r>
      <w:r w:rsidR="00690CC2">
        <w:rPr>
          <w:b/>
          <w:sz w:val="20"/>
          <w:szCs w:val="20"/>
          <w:u w:val="single"/>
        </w:rPr>
        <w:t>Álvarez Ramos</w:t>
      </w:r>
      <w:r w:rsidRPr="00BF230F">
        <w:rPr>
          <w:b/>
          <w:sz w:val="20"/>
          <w:szCs w:val="20"/>
          <w:u w:val="single"/>
        </w:rPr>
        <w:t xml:space="preserve"> </w:t>
      </w:r>
      <w:r w:rsidRPr="00E62DEA">
        <w:rPr>
          <w:b/>
          <w:i/>
          <w:sz w:val="20"/>
          <w:szCs w:val="20"/>
          <w:u w:val="single"/>
        </w:rPr>
        <w:t>Vs.</w:t>
      </w:r>
      <w:r w:rsidRPr="00BF230F">
        <w:rPr>
          <w:b/>
          <w:sz w:val="20"/>
          <w:szCs w:val="20"/>
          <w:u w:val="single"/>
        </w:rPr>
        <w:t xml:space="preserve"> Venezuela: reparaciones pendientes de cumplimiento</w:t>
      </w:r>
    </w:p>
    <w:p w:rsidR="000E03F7" w:rsidRPr="0001748B" w:rsidRDefault="000E03F7" w:rsidP="000E03F7">
      <w:pPr>
        <w:rPr>
          <w:sz w:val="20"/>
          <w:szCs w:val="20"/>
        </w:rPr>
      </w:pPr>
    </w:p>
    <w:p w:rsidR="00E62DEA" w:rsidRPr="00690CC2" w:rsidRDefault="00E62DEA" w:rsidP="002D3DDA">
      <w:pPr>
        <w:pStyle w:val="Prrafodelista"/>
        <w:numPr>
          <w:ilvl w:val="0"/>
          <w:numId w:val="2"/>
        </w:numPr>
        <w:ind w:left="0" w:firstLine="0"/>
        <w:jc w:val="both"/>
        <w:rPr>
          <w:rFonts w:eastAsia="MS Mincho"/>
          <w:sz w:val="20"/>
          <w:szCs w:val="20"/>
        </w:rPr>
      </w:pPr>
      <w:r w:rsidRPr="00690CC2">
        <w:rPr>
          <w:sz w:val="20"/>
        </w:rPr>
        <w:t xml:space="preserve">Adoptar </w:t>
      </w:r>
      <w:r w:rsidR="00690CC2" w:rsidRPr="00690CC2">
        <w:rPr>
          <w:sz w:val="20"/>
        </w:rPr>
        <w:t>todas las medidas necesarias para dejar sin efecto la sentencia dictada contra el señor Álvarez y las consecuencias que de ella se derivan, así como los antecedentes judiciales o administrativos, penales, electorales o policiales, que existan en su contra a raíz de la sentencia penal, en los términos de los párrafos 202 a 203 de la presente Sentencia.</w:t>
      </w:r>
    </w:p>
    <w:p w:rsidR="00690CC2" w:rsidRPr="00690CC2" w:rsidRDefault="00690CC2" w:rsidP="00690CC2">
      <w:pPr>
        <w:pStyle w:val="Prrafodelista"/>
        <w:ind w:left="0"/>
        <w:jc w:val="both"/>
        <w:rPr>
          <w:rFonts w:eastAsia="MS Mincho"/>
          <w:sz w:val="20"/>
          <w:szCs w:val="20"/>
        </w:rPr>
      </w:pPr>
    </w:p>
    <w:p w:rsidR="00E62DEA" w:rsidRDefault="00690CC2" w:rsidP="00E62DEA">
      <w:pPr>
        <w:pStyle w:val="Prrafodelista"/>
        <w:numPr>
          <w:ilvl w:val="0"/>
          <w:numId w:val="2"/>
        </w:numPr>
        <w:ind w:left="0" w:firstLine="0"/>
        <w:jc w:val="both"/>
        <w:rPr>
          <w:rStyle w:val="apple-style-span"/>
          <w:rFonts w:eastAsia="MS Mincho"/>
          <w:sz w:val="20"/>
          <w:szCs w:val="20"/>
        </w:rPr>
      </w:pPr>
      <w:r>
        <w:rPr>
          <w:rFonts w:eastAsia="MS Mincho"/>
          <w:sz w:val="20"/>
          <w:szCs w:val="20"/>
        </w:rPr>
        <w:t xml:space="preserve">Realizar </w:t>
      </w:r>
      <w:r w:rsidRPr="00690CC2">
        <w:rPr>
          <w:rFonts w:eastAsia="MS Mincho"/>
          <w:sz w:val="20"/>
          <w:szCs w:val="20"/>
        </w:rPr>
        <w:t>las publicaciones indicadas en el párra</w:t>
      </w:r>
      <w:r>
        <w:rPr>
          <w:rFonts w:eastAsia="MS Mincho"/>
          <w:sz w:val="20"/>
          <w:szCs w:val="20"/>
        </w:rPr>
        <w:t>fo 204 de la presente Sentencia</w:t>
      </w:r>
      <w:r w:rsidR="00E62DEA" w:rsidRPr="00E62DEA">
        <w:rPr>
          <w:sz w:val="20"/>
          <w:szCs w:val="20"/>
        </w:rPr>
        <w:t>.</w:t>
      </w:r>
      <w:r w:rsidR="00E62DEA" w:rsidRPr="00E62DEA">
        <w:rPr>
          <w:rStyle w:val="apple-style-span"/>
          <w:rFonts w:eastAsia="MS Mincho"/>
          <w:sz w:val="20"/>
          <w:szCs w:val="20"/>
        </w:rPr>
        <w:t xml:space="preserve"> </w:t>
      </w:r>
    </w:p>
    <w:p w:rsidR="00E62DEA" w:rsidRPr="00E62DEA" w:rsidRDefault="00E62DEA" w:rsidP="00E62DEA">
      <w:pPr>
        <w:pStyle w:val="Prrafodelista"/>
        <w:rPr>
          <w:rFonts w:cs="Verdana"/>
          <w:sz w:val="20"/>
          <w:szCs w:val="20"/>
        </w:rPr>
      </w:pPr>
    </w:p>
    <w:p w:rsidR="00690CC2" w:rsidRPr="00690CC2" w:rsidRDefault="00E62DEA" w:rsidP="00690CC2">
      <w:pPr>
        <w:pStyle w:val="Prrafodelista"/>
        <w:numPr>
          <w:ilvl w:val="0"/>
          <w:numId w:val="2"/>
        </w:numPr>
        <w:ind w:left="0" w:firstLine="0"/>
        <w:jc w:val="both"/>
        <w:rPr>
          <w:rFonts w:eastAsia="MS Mincho"/>
          <w:sz w:val="20"/>
          <w:szCs w:val="20"/>
        </w:rPr>
      </w:pPr>
      <w:r>
        <w:rPr>
          <w:rFonts w:cs="Verdana"/>
          <w:sz w:val="20"/>
          <w:szCs w:val="20"/>
        </w:rPr>
        <w:t>P</w:t>
      </w:r>
      <w:r w:rsidRPr="00E62DEA">
        <w:rPr>
          <w:rFonts w:cs="Verdana"/>
          <w:sz w:val="20"/>
          <w:szCs w:val="20"/>
        </w:rPr>
        <w:t xml:space="preserve">agar </w:t>
      </w:r>
      <w:r w:rsidR="00690CC2" w:rsidRPr="00690CC2">
        <w:rPr>
          <w:rFonts w:cs="Verdana"/>
          <w:sz w:val="20"/>
          <w:szCs w:val="20"/>
        </w:rPr>
        <w:t>las cantida</w:t>
      </w:r>
      <w:r w:rsidR="00690CC2">
        <w:rPr>
          <w:rFonts w:cs="Verdana"/>
          <w:sz w:val="20"/>
          <w:szCs w:val="20"/>
        </w:rPr>
        <w:t>des fijadas en los párrafos 219 y</w:t>
      </w:r>
      <w:r w:rsidR="00690CC2" w:rsidRPr="00690CC2">
        <w:rPr>
          <w:rFonts w:cs="Verdana"/>
          <w:sz w:val="20"/>
          <w:szCs w:val="20"/>
        </w:rPr>
        <w:t xml:space="preserve"> 226 de la presente Sentencia, por concepto de da</w:t>
      </w:r>
      <w:r w:rsidR="00690CC2">
        <w:rPr>
          <w:rFonts w:cs="Verdana"/>
          <w:sz w:val="20"/>
          <w:szCs w:val="20"/>
        </w:rPr>
        <w:t xml:space="preserve">ños materiales e inmateriales; </w:t>
      </w:r>
      <w:r w:rsidR="00690CC2" w:rsidRPr="00690CC2">
        <w:rPr>
          <w:rFonts w:cs="Verdana"/>
          <w:sz w:val="20"/>
          <w:szCs w:val="20"/>
        </w:rPr>
        <w:t>en los términos de los párrafos 243 a 247 de la presente Sentencia.</w:t>
      </w:r>
    </w:p>
    <w:p w:rsidR="00690CC2" w:rsidRPr="00690CC2" w:rsidRDefault="00690CC2" w:rsidP="00690CC2">
      <w:pPr>
        <w:pStyle w:val="Prrafodelista"/>
        <w:rPr>
          <w:rFonts w:cs="Verdana"/>
          <w:sz w:val="20"/>
          <w:szCs w:val="20"/>
        </w:rPr>
      </w:pPr>
    </w:p>
    <w:p w:rsidR="00E62DEA" w:rsidRPr="00E62DEA" w:rsidRDefault="00690CC2" w:rsidP="00E62DEA">
      <w:pPr>
        <w:pStyle w:val="Prrafodelista"/>
        <w:numPr>
          <w:ilvl w:val="0"/>
          <w:numId w:val="2"/>
        </w:numPr>
        <w:ind w:left="0" w:firstLine="0"/>
        <w:jc w:val="both"/>
        <w:rPr>
          <w:rFonts w:eastAsia="MS Mincho"/>
          <w:sz w:val="20"/>
          <w:szCs w:val="20"/>
        </w:rPr>
      </w:pPr>
      <w:r>
        <w:rPr>
          <w:rFonts w:cs="Verdana"/>
          <w:sz w:val="20"/>
          <w:szCs w:val="20"/>
        </w:rPr>
        <w:t>R</w:t>
      </w:r>
      <w:r w:rsidRPr="00690CC2">
        <w:rPr>
          <w:rFonts w:cs="Verdana"/>
          <w:sz w:val="20"/>
          <w:szCs w:val="20"/>
        </w:rPr>
        <w:t>eintegrar al Fondo de Asistencia Legal de Víctimas de la Corte Interamericana de Derechos Humanos la cantidad erogada durante la tramitación del presente caso, en los términos del párrafo 242 de esta Sentencia.</w:t>
      </w:r>
    </w:p>
    <w:p w:rsidR="00E62DEA" w:rsidRDefault="00E62DEA" w:rsidP="00E62DEA">
      <w:pPr>
        <w:contextualSpacing/>
        <w:jc w:val="both"/>
        <w:rPr>
          <w:sz w:val="20"/>
          <w:szCs w:val="20"/>
        </w:rPr>
      </w:pPr>
    </w:p>
    <w:p w:rsidR="000E03F7" w:rsidRPr="00E62DEA" w:rsidRDefault="000E03F7" w:rsidP="000E03F7">
      <w:pPr>
        <w:pStyle w:val="Prrafodelista2"/>
        <w:ind w:left="0" w:right="-90"/>
        <w:contextualSpacing/>
        <w:jc w:val="both"/>
        <w:rPr>
          <w:bCs/>
        </w:rPr>
      </w:pPr>
    </w:p>
    <w:p w:rsidR="000E03F7" w:rsidRPr="0001748B" w:rsidRDefault="000E03F7" w:rsidP="000E03F7">
      <w:pPr>
        <w:tabs>
          <w:tab w:val="left" w:pos="720"/>
        </w:tabs>
        <w:ind w:right="-90"/>
        <w:contextualSpacing/>
        <w:rPr>
          <w:bCs/>
          <w:sz w:val="20"/>
          <w:szCs w:val="20"/>
        </w:rPr>
      </w:pPr>
    </w:p>
    <w:p w:rsidR="00CC3476" w:rsidRPr="00CC3476" w:rsidRDefault="00CC3476" w:rsidP="000E03F7">
      <w:pPr>
        <w:jc w:val="both"/>
        <w:rPr>
          <w:sz w:val="20"/>
          <w:szCs w:val="20"/>
        </w:rPr>
      </w:pPr>
    </w:p>
    <w:sectPr w:rsidR="00CC3476" w:rsidRPr="00CC34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07" w:rsidRDefault="00136F07" w:rsidP="00BF230F">
      <w:r>
        <w:separator/>
      </w:r>
    </w:p>
  </w:endnote>
  <w:endnote w:type="continuationSeparator" w:id="0">
    <w:p w:rsidR="00136F07" w:rsidRDefault="00136F07" w:rsidP="00B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0F" w:rsidRPr="00BE400E" w:rsidRDefault="00BF230F" w:rsidP="00BF230F">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230F" w:rsidRPr="00BF230F" w:rsidRDefault="00BF230F">
    <w:pPr>
      <w:pStyle w:val="Piedepgina"/>
      <w:rPr>
        <w:lang w:val="es-MX"/>
      </w:rPr>
    </w:pPr>
  </w:p>
  <w:p w:rsidR="00BF230F" w:rsidRDefault="00BF23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07" w:rsidRDefault="00136F07" w:rsidP="00BF230F">
      <w:r>
        <w:separator/>
      </w:r>
    </w:p>
  </w:footnote>
  <w:footnote w:type="continuationSeparator" w:id="0">
    <w:p w:rsidR="00136F07" w:rsidRDefault="00136F07" w:rsidP="00BF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5069"/>
    <w:multiLevelType w:val="hybridMultilevel"/>
    <w:tmpl w:val="E0FE30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3E06E32"/>
    <w:multiLevelType w:val="hybridMultilevel"/>
    <w:tmpl w:val="8E0617F4"/>
    <w:lvl w:ilvl="0" w:tplc="B21A1C8C">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6"/>
    <w:rsid w:val="000E03F7"/>
    <w:rsid w:val="00136F07"/>
    <w:rsid w:val="003A7E5E"/>
    <w:rsid w:val="003E5D94"/>
    <w:rsid w:val="00541756"/>
    <w:rsid w:val="00690CC2"/>
    <w:rsid w:val="006B7D1A"/>
    <w:rsid w:val="00754AE0"/>
    <w:rsid w:val="00760D62"/>
    <w:rsid w:val="00957325"/>
    <w:rsid w:val="009832C0"/>
    <w:rsid w:val="00BF230F"/>
    <w:rsid w:val="00C43E1C"/>
    <w:rsid w:val="00CA4DEB"/>
    <w:rsid w:val="00CC3476"/>
    <w:rsid w:val="00D82DDA"/>
    <w:rsid w:val="00E62DEA"/>
    <w:rsid w:val="00EB4D10"/>
    <w:rsid w:val="00EC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70C8B-0A8F-463C-8F8D-EE6ABCA8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76"/>
    <w:pPr>
      <w:spacing w:after="0" w:line="240" w:lineRule="auto"/>
    </w:pPr>
    <w:rPr>
      <w:rFonts w:ascii="Verdana" w:eastAsia="Batang" w:hAnsi="Verdana" w:cs="Times New Roman"/>
      <w:sz w:val="24"/>
      <w:szCs w:val="24"/>
      <w:lang w:val="es-ES_tradnl"/>
    </w:rPr>
  </w:style>
  <w:style w:type="paragraph" w:styleId="Ttulo1">
    <w:name w:val="heading 1"/>
    <w:basedOn w:val="Normal"/>
    <w:next w:val="Normal"/>
    <w:link w:val="Ttulo1Car"/>
    <w:qFormat/>
    <w:rsid w:val="00CC3476"/>
    <w:pPr>
      <w:keepNext/>
      <w:spacing w:before="240" w:after="60"/>
      <w:outlineLvl w:val="0"/>
    </w:pPr>
    <w:rPr>
      <w:rFonts w:ascii="Arial" w:hAnsi="Arial"/>
      <w:b/>
      <w:bCs/>
      <w:kern w:val="32"/>
      <w:sz w:val="32"/>
      <w:szCs w:val="3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3476"/>
    <w:rPr>
      <w:rFonts w:ascii="Arial" w:eastAsia="Batang" w:hAnsi="Arial" w:cs="Times New Roman"/>
      <w:b/>
      <w:bCs/>
      <w:kern w:val="32"/>
      <w:sz w:val="32"/>
      <w:szCs w:val="32"/>
      <w:lang w:val="es-ES_tradnl" w:eastAsia="x-none"/>
    </w:rPr>
  </w:style>
  <w:style w:type="paragraph" w:customStyle="1" w:styleId="Prrafodelista2">
    <w:name w:val="Párrafo de lista2"/>
    <w:basedOn w:val="Normal"/>
    <w:uiPriority w:val="99"/>
    <w:rsid w:val="000E03F7"/>
    <w:pPr>
      <w:ind w:left="720"/>
    </w:pPr>
    <w:rPr>
      <w:rFonts w:eastAsia="MS Mincho"/>
      <w:sz w:val="20"/>
      <w:szCs w:val="20"/>
      <w:lang w:bidi="en-US"/>
    </w:rPr>
  </w:style>
  <w:style w:type="paragraph" w:styleId="Encabezado">
    <w:name w:val="header"/>
    <w:basedOn w:val="Normal"/>
    <w:link w:val="EncabezadoCar"/>
    <w:uiPriority w:val="99"/>
    <w:unhideWhenUsed/>
    <w:rsid w:val="00BF230F"/>
    <w:pPr>
      <w:tabs>
        <w:tab w:val="center" w:pos="4419"/>
        <w:tab w:val="right" w:pos="8838"/>
      </w:tabs>
    </w:pPr>
  </w:style>
  <w:style w:type="character" w:customStyle="1" w:styleId="EncabezadoCar">
    <w:name w:val="Encabezado Car"/>
    <w:basedOn w:val="Fuentedeprrafopredeter"/>
    <w:link w:val="Encabezado"/>
    <w:uiPriority w:val="99"/>
    <w:rsid w:val="00BF230F"/>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BF230F"/>
    <w:pPr>
      <w:tabs>
        <w:tab w:val="center" w:pos="4419"/>
        <w:tab w:val="right" w:pos="8838"/>
      </w:tabs>
    </w:pPr>
  </w:style>
  <w:style w:type="character" w:customStyle="1" w:styleId="PiedepginaCar">
    <w:name w:val="Pie de página Car"/>
    <w:basedOn w:val="Fuentedeprrafopredeter"/>
    <w:link w:val="Piedepgina"/>
    <w:uiPriority w:val="99"/>
    <w:rsid w:val="00BF230F"/>
    <w:rPr>
      <w:rFonts w:ascii="Verdana" w:eastAsia="Batang" w:hAnsi="Verdana" w:cs="Times New Roman"/>
      <w:sz w:val="24"/>
      <w:szCs w:val="24"/>
      <w:lang w:val="es-ES_tradnl"/>
    </w:rPr>
  </w:style>
  <w:style w:type="paragraph" w:styleId="Textodeglobo">
    <w:name w:val="Balloon Text"/>
    <w:basedOn w:val="Normal"/>
    <w:link w:val="TextodegloboCar"/>
    <w:uiPriority w:val="99"/>
    <w:semiHidden/>
    <w:unhideWhenUsed/>
    <w:rsid w:val="00BF2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30F"/>
    <w:rPr>
      <w:rFonts w:ascii="Tahoma" w:eastAsia="Batang" w:hAnsi="Tahoma" w:cs="Tahoma"/>
      <w:sz w:val="16"/>
      <w:szCs w:val="16"/>
      <w:lang w:val="es-ES_tradnl"/>
    </w:rPr>
  </w:style>
  <w:style w:type="character" w:customStyle="1" w:styleId="apple-style-span">
    <w:name w:val="apple-style-span"/>
    <w:qFormat/>
    <w:rsid w:val="00E62DEA"/>
    <w:rPr>
      <w:rFonts w:cs="Times New Roman"/>
    </w:rPr>
  </w:style>
  <w:style w:type="paragraph" w:styleId="Prrafodelista">
    <w:name w:val="List Paragraph"/>
    <w:basedOn w:val="Normal"/>
    <w:uiPriority w:val="34"/>
    <w:qFormat/>
    <w:rsid w:val="00E6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792</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&lt;corteidh@corteidh.or.cr&gt;;Corte IDH</dc:creator>
  <cp:lastModifiedBy>Magda Ramirez</cp:lastModifiedBy>
  <cp:revision>2</cp:revision>
  <cp:lastPrinted>2018-06-18T15:55:00Z</cp:lastPrinted>
  <dcterms:created xsi:type="dcterms:W3CDTF">2021-08-06T16:22:00Z</dcterms:created>
  <dcterms:modified xsi:type="dcterms:W3CDTF">2021-08-06T16:22:00Z</dcterms:modified>
</cp:coreProperties>
</file>